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2359F8">
      <w:pPr>
        <w:ind w:left="6096"/>
        <w:rPr>
          <w:i/>
          <w:sz w:val="28"/>
          <w:szCs w:val="28"/>
        </w:rPr>
      </w:pPr>
      <w:r>
        <w:rPr>
          <w:sz w:val="28"/>
          <w:szCs w:val="28"/>
        </w:rPr>
        <w:t xml:space="preserve">приказом </w:t>
      </w:r>
      <w:r w:rsidR="002359F8">
        <w:rPr>
          <w:sz w:val="28"/>
          <w:szCs w:val="28"/>
        </w:rPr>
        <w:t xml:space="preserve">директора </w:t>
      </w:r>
      <w:r w:rsidR="002359F8" w:rsidRPr="002359F8">
        <w:rPr>
          <w:sz w:val="28"/>
          <w:szCs w:val="28"/>
        </w:rPr>
        <w:t>МКОУ ООШ п.Кордяга</w:t>
      </w:r>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002359F8">
        <w:rPr>
          <w:sz w:val="28"/>
          <w:szCs w:val="28"/>
        </w:rPr>
        <w:t>30.08.2023 г.</w:t>
      </w:r>
      <w:r>
        <w:rPr>
          <w:sz w:val="28"/>
          <w:szCs w:val="28"/>
        </w:rPr>
        <w:t xml:space="preserve">                   </w:t>
      </w:r>
      <w:r w:rsidRPr="001A4A8A">
        <w:rPr>
          <w:sz w:val="28"/>
          <w:szCs w:val="28"/>
        </w:rPr>
        <w:t>№</w:t>
      </w:r>
      <w:r>
        <w:rPr>
          <w:sz w:val="28"/>
          <w:szCs w:val="28"/>
        </w:rPr>
        <w:t xml:space="preserve"> </w:t>
      </w:r>
      <w:r w:rsidR="002359F8">
        <w:rPr>
          <w:sz w:val="28"/>
          <w:szCs w:val="28"/>
        </w:rPr>
        <w:t>86-од</w:t>
      </w:r>
      <w:bookmarkStart w:id="0" w:name="_GoBack"/>
      <w:bookmarkEnd w:id="0"/>
    </w:p>
    <w:p w:rsidR="000D3AA9" w:rsidRDefault="00A659D6" w:rsidP="000D3AA9">
      <w:pPr>
        <w:spacing w:before="480"/>
        <w:jc w:val="center"/>
        <w:rPr>
          <w:b/>
          <w:sz w:val="28"/>
          <w:szCs w:val="28"/>
        </w:rPr>
      </w:pPr>
      <w:r>
        <w:rPr>
          <w:b/>
          <w:sz w:val="28"/>
          <w:szCs w:val="28"/>
        </w:rPr>
        <w:t>ПОЛОЖЕНИЕ</w:t>
      </w:r>
    </w:p>
    <w:p w:rsidR="002359F8" w:rsidRPr="002359F8" w:rsidRDefault="00252854" w:rsidP="002359F8">
      <w:pPr>
        <w:jc w:val="center"/>
        <w:rPr>
          <w:b/>
          <w:sz w:val="28"/>
          <w:szCs w:val="28"/>
        </w:rPr>
      </w:pPr>
      <w:r>
        <w:rPr>
          <w:b/>
          <w:sz w:val="28"/>
          <w:szCs w:val="28"/>
        </w:rPr>
        <w:t>об а</w:t>
      </w:r>
      <w:r w:rsidR="00A659D6">
        <w:rPr>
          <w:b/>
          <w:sz w:val="28"/>
          <w:szCs w:val="28"/>
        </w:rPr>
        <w:t xml:space="preserve">нтикоррупционной политике </w:t>
      </w:r>
      <w:r w:rsidR="002359F8" w:rsidRPr="002359F8">
        <w:rPr>
          <w:b/>
          <w:sz w:val="28"/>
          <w:szCs w:val="28"/>
        </w:rPr>
        <w:t>МКОУ ООШ п.Кордяга</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2359F8" w:rsidRPr="002359F8">
        <w:rPr>
          <w:rFonts w:ascii="Times New Roman" w:hAnsi="Times New Roman" w:cs="Times New Roman"/>
          <w:sz w:val="28"/>
          <w:szCs w:val="28"/>
        </w:rPr>
        <w:t>МКОУ ООШ п.Кордяга</w:t>
      </w:r>
      <w:r w:rsidR="00A659D6"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2359F8" w:rsidRPr="002359F8">
        <w:rPr>
          <w:rFonts w:ascii="Times New Roman" w:hAnsi="Times New Roman" w:cs="Times New Roman"/>
          <w:sz w:val="28"/>
          <w:szCs w:val="28"/>
        </w:rPr>
        <w:t>МКОУ ООШ п.Кордяга</w:t>
      </w:r>
      <w:r w:rsidR="002359F8" w:rsidRPr="00A659D6">
        <w:rPr>
          <w:rFonts w:ascii="Times New Roman" w:hAnsi="Times New Roman" w:cs="Times New Roman"/>
          <w:sz w:val="28"/>
          <w:szCs w:val="28"/>
        </w:rPr>
        <w:t xml:space="preserve">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2359F8" w:rsidRPr="002359F8">
        <w:rPr>
          <w:rFonts w:ascii="Times New Roman" w:hAnsi="Times New Roman" w:cs="Times New Roman"/>
          <w:sz w:val="28"/>
          <w:szCs w:val="28"/>
        </w:rPr>
        <w:t>МКОУ ООШ п.Кордяга</w:t>
      </w:r>
      <w:r w:rsidR="004B1E23">
        <w:rPr>
          <w:rFonts w:ascii="Times New Roman" w:hAnsi="Times New Roman" w:cs="Times New Roman"/>
          <w:sz w:val="28"/>
          <w:szCs w:val="28"/>
        </w:rPr>
        <w:t xml:space="preserve"> </w:t>
      </w:r>
      <w:r w:rsidR="004B1E23">
        <w:rPr>
          <w:rFonts w:ascii="Times New Roman" w:hAnsi="Times New Roman" w:cs="Times New Roman"/>
          <w:sz w:val="28"/>
          <w:szCs w:val="28"/>
        </w:rPr>
        <w:t>(далее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w:t>
      </w:r>
      <w:r w:rsidR="00B6633F" w:rsidRPr="00B6633F">
        <w:rPr>
          <w:rFonts w:ascii="Times New Roman" w:hAnsi="Times New Roman" w:cs="Times New Roman"/>
          <w:sz w:val="28"/>
          <w:szCs w:val="28"/>
        </w:rPr>
        <w:lastRenderedPageBreak/>
        <w:t>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w:t>
      </w:r>
      <w:r w:rsidRPr="00A659D6">
        <w:rPr>
          <w:rFonts w:ascii="Times New Roman" w:hAnsi="Times New Roman" w:cs="Times New Roman"/>
          <w:sz w:val="28"/>
          <w:szCs w:val="28"/>
        </w:rPr>
        <w:lastRenderedPageBreak/>
        <w:t>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w:t>
      </w:r>
      <w:r w:rsidRPr="00A659D6">
        <w:rPr>
          <w:rFonts w:ascii="Times New Roman" w:hAnsi="Times New Roman" w:cs="Times New Roman"/>
          <w:sz w:val="28"/>
          <w:szCs w:val="28"/>
        </w:rPr>
        <w:lastRenderedPageBreak/>
        <w:t xml:space="preserve">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2359F8" w:rsidRPr="002359F8">
        <w:rPr>
          <w:rFonts w:ascii="Times New Roman" w:hAnsi="Times New Roman" w:cs="Times New Roman"/>
          <w:sz w:val="28"/>
          <w:szCs w:val="28"/>
        </w:rPr>
        <w:t>МКОУ ООШ п.Кордяга</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 xml:space="preserve">фактах </w:t>
      </w:r>
      <w:r w:rsidR="00C0546A">
        <w:rPr>
          <w:rFonts w:ascii="Times New Roman" w:hAnsi="Times New Roman" w:cs="Times New Roman"/>
          <w:sz w:val="28"/>
          <w:szCs w:val="28"/>
        </w:rPr>
        <w:lastRenderedPageBreak/>
        <w:t>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2359F8" w:rsidRDefault="002359F8" w:rsidP="007656C4">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lastRenderedPageBreak/>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 xml:space="preserve">Организация индивидуального </w:t>
            </w:r>
            <w:r w:rsidRPr="003E612E">
              <w:lastRenderedPageBreak/>
              <w:t>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lastRenderedPageBreak/>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2359F8" w:rsidRPr="002359F8">
        <w:rPr>
          <w:sz w:val="28"/>
          <w:szCs w:val="28"/>
        </w:rPr>
        <w:t>МКОУ ООШ п.Кордяга</w:t>
      </w:r>
      <w:r>
        <w:rPr>
          <w:rFonts w:cs="Calibri"/>
          <w:sz w:val="28"/>
          <w:szCs w:val="28"/>
        </w:rPr>
        <w:t>,</w:t>
      </w:r>
      <w:r>
        <w:rPr>
          <w:rFonts w:cs="Calibri"/>
          <w:sz w:val="28"/>
          <w:szCs w:val="28"/>
        </w:rPr>
        <w:t xml:space="preserve">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lastRenderedPageBreak/>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2359F8" w:rsidRDefault="002359F8" w:rsidP="00A146F3">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00A659D6" w:rsidRPr="00A659D6">
        <w:rPr>
          <w:rFonts w:ascii="Times New Roman" w:hAnsi="Times New Roman" w:cs="Times New Roman"/>
          <w:sz w:val="28"/>
          <w:szCs w:val="28"/>
        </w:rPr>
        <w:lastRenderedPageBreak/>
        <w:t xml:space="preserve">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w:t>
      </w:r>
      <w:r w:rsidR="00A659D6" w:rsidRPr="00A659D6">
        <w:rPr>
          <w:rFonts w:ascii="Times New Roman" w:hAnsi="Times New Roman" w:cs="Times New Roman"/>
          <w:sz w:val="28"/>
          <w:szCs w:val="28"/>
        </w:rPr>
        <w:lastRenderedPageBreak/>
        <w:t>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r w:rsidR="00A659D6" w:rsidRPr="00A659D6">
        <w:rPr>
          <w:rFonts w:ascii="Times New Roman" w:hAnsi="Times New Roman" w:cs="Times New Roman"/>
          <w:sz w:val="28"/>
          <w:szCs w:val="28"/>
        </w:rPr>
        <w:lastRenderedPageBreak/>
        <w:t>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 xml:space="preserve">ательством Российской Федерации, за </w:t>
      </w:r>
      <w:r w:rsidR="00865FE5" w:rsidRPr="00E67E37">
        <w:rPr>
          <w:rFonts w:ascii="Times New Roman" w:hAnsi="Times New Roman" w:cs="Times New Roman"/>
          <w:sz w:val="28"/>
          <w:szCs w:val="28"/>
        </w:rPr>
        <w:lastRenderedPageBreak/>
        <w:t>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2359F8"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5715" t="10160" r="889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D6432"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4C9" w:rsidRDefault="006B54C9" w:rsidP="00072C5F">
      <w:r>
        <w:separator/>
      </w:r>
    </w:p>
  </w:endnote>
  <w:endnote w:type="continuationSeparator" w:id="0">
    <w:p w:rsidR="006B54C9" w:rsidRDefault="006B54C9"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4C9" w:rsidRDefault="006B54C9" w:rsidP="00072C5F">
      <w:r>
        <w:separator/>
      </w:r>
    </w:p>
  </w:footnote>
  <w:footnote w:type="continuationSeparator" w:id="0">
    <w:p w:rsidR="006B54C9" w:rsidRDefault="006B54C9" w:rsidP="00072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2359F8">
          <w:rPr>
            <w:noProof/>
            <w:sz w:val="28"/>
            <w:szCs w:val="28"/>
          </w:rPr>
          <w:t>6</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59F8"/>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4C9"/>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ED28"/>
  <w15:docId w15:val="{E50BBCA2-7FC2-4152-8217-1794DFD4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BB32A-C8D1-4BB5-A96F-8E2847CD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4118</Words>
  <Characters>23478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Елена</cp:lastModifiedBy>
  <cp:revision>2</cp:revision>
  <cp:lastPrinted>2024-02-09T11:06:00Z</cp:lastPrinted>
  <dcterms:created xsi:type="dcterms:W3CDTF">2024-03-27T05:46:00Z</dcterms:created>
  <dcterms:modified xsi:type="dcterms:W3CDTF">2024-03-27T05:46:00Z</dcterms:modified>
</cp:coreProperties>
</file>